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B4B" w:rsidRDefault="00542F0F">
      <w:pPr>
        <w:rPr>
          <w:b/>
          <w:sz w:val="24"/>
        </w:rPr>
      </w:pPr>
      <w:r w:rsidRPr="00542F0F">
        <w:rPr>
          <w:b/>
          <w:sz w:val="24"/>
        </w:rPr>
        <w:t>9. melléklet: Példák az ábrák, táblázatok helyes megjelenítésére</w:t>
      </w:r>
    </w:p>
    <w:p w:rsidR="00F075D2" w:rsidRPr="00F075D2" w:rsidRDefault="00F075D2">
      <w:pPr>
        <w:rPr>
          <w:rFonts w:ascii="Times New Roman" w:hAnsi="Times New Roman" w:cs="Times New Roman"/>
          <w:sz w:val="24"/>
          <w:u w:val="single"/>
        </w:rPr>
      </w:pPr>
      <w:r w:rsidRPr="00F075D2">
        <w:rPr>
          <w:rFonts w:ascii="Times New Roman" w:hAnsi="Times New Roman" w:cs="Times New Roman"/>
          <w:sz w:val="24"/>
          <w:u w:val="single"/>
        </w:rPr>
        <w:t>Szakirodalomból átvett ábra:</w:t>
      </w:r>
    </w:p>
    <w:p w:rsidR="00F075D2" w:rsidRDefault="00F075D2" w:rsidP="00F075D2">
      <w:pPr>
        <w:keepNext/>
      </w:pPr>
      <w:r>
        <w:rPr>
          <w:noProof/>
          <w:sz w:val="24"/>
        </w:rPr>
        <w:drawing>
          <wp:inline distT="0" distB="0" distL="0" distR="0">
            <wp:extent cx="5120640" cy="3408679"/>
            <wp:effectExtent l="0" t="0" r="381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1-2-4_Maslow_szukseglethierarchiaja_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116" cy="342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EE4" w:rsidRPr="00F075D2" w:rsidRDefault="00F075D2" w:rsidP="00F075D2">
      <w:pPr>
        <w:pStyle w:val="Kpalrs"/>
        <w:spacing w:after="24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F075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fldChar w:fldCharType="begin"/>
      </w:r>
      <w:r w:rsidRPr="00F075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instrText xml:space="preserve"> SEQ ábra \* ARABIC </w:instrText>
      </w:r>
      <w:r w:rsidRPr="00F075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fldChar w:fldCharType="separate"/>
      </w:r>
      <w:r w:rsidR="003E24A5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</w:t>
      </w:r>
      <w:r w:rsidRPr="00F075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fldChar w:fldCharType="end"/>
      </w:r>
      <w:r w:rsidRPr="00F075D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. ábra: Az emberi szükségletek hierarchiája Maslow szerint. Forrás: </w:t>
      </w:r>
      <w:sdt>
        <w:sdtPr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id w:val="1893084172"/>
          <w:citation/>
        </w:sdtPr>
        <w:sdtEndPr/>
        <w:sdtContent>
          <w:r w:rsidRPr="00F075D2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fldChar w:fldCharType="begin"/>
          </w:r>
          <w:r w:rsidRPr="00F075D2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instrText xml:space="preserve">CITATION Roó13 \l 1038 </w:instrText>
          </w:r>
          <w:r w:rsidRPr="00F075D2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fldChar w:fldCharType="separate"/>
          </w:r>
          <w:r w:rsidRPr="00F075D2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t>(Roóz &amp; Heidrich, 2013.)</w:t>
          </w:r>
          <w:r w:rsidRPr="00F075D2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fldChar w:fldCharType="end"/>
          </w:r>
        </w:sdtContent>
      </w:sdt>
    </w:p>
    <w:p w:rsidR="006C7EE4" w:rsidRPr="00F075D2" w:rsidRDefault="00F075D2" w:rsidP="00F075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75D2">
        <w:rPr>
          <w:rFonts w:ascii="Times New Roman" w:hAnsi="Times New Roman" w:cs="Times New Roman"/>
          <w:sz w:val="24"/>
        </w:rPr>
        <w:t>Maslow elmélete szerint az emberi szükségletek hierarchikus rendbe állíthatóak (1. ábra).</w:t>
      </w:r>
    </w:p>
    <w:p w:rsidR="006C7EE4" w:rsidRPr="00501EB0" w:rsidRDefault="00F075D2" w:rsidP="00F075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501EB0">
        <w:rPr>
          <w:rFonts w:ascii="Times New Roman" w:hAnsi="Times New Roman" w:cs="Times New Roman"/>
          <w:color w:val="000000" w:themeColor="text1"/>
          <w:sz w:val="24"/>
          <w:u w:val="single"/>
        </w:rPr>
        <w:t>Szakirodalomban, statisztikai adatbázisban stb. fellelhető adatokból szerkesztett saját ábra:</w:t>
      </w:r>
    </w:p>
    <w:p w:rsidR="00B4096A" w:rsidRDefault="00501EB0" w:rsidP="00B4096A">
      <w:pPr>
        <w:keepNext/>
        <w:spacing w:line="360" w:lineRule="auto"/>
        <w:jc w:val="both"/>
      </w:pPr>
      <w:r>
        <w:rPr>
          <w:noProof/>
        </w:rPr>
        <w:drawing>
          <wp:inline distT="0" distB="0" distL="0" distR="0" wp14:anchorId="3373F82E" wp14:editId="6AAABC46">
            <wp:extent cx="4572000" cy="3051810"/>
            <wp:effectExtent l="0" t="0" r="0" b="15240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404D18CA-FEFE-4CF8-89A9-18239EB1C7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096A" w:rsidRDefault="00B4096A" w:rsidP="00B4096A">
      <w:pPr>
        <w:pStyle w:val="Kpalrs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2</w:t>
      </w:r>
      <w:r w:rsidRPr="00B4096A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. ábra: A 2015-2017 között élveszületettek megoszlása az anya családi állapota szerint a Gyulai Járásban. Forrás: </w:t>
      </w:r>
      <w:sdt>
        <w:sdtPr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id w:val="-1708242877"/>
          <w:citation/>
        </w:sdtPr>
        <w:sdtEndPr/>
        <w:sdtContent>
          <w:r w:rsidRPr="00B4096A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fldChar w:fldCharType="begin"/>
          </w:r>
          <w:r w:rsidRPr="00B4096A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instrText xml:space="preserve">CITATION KSH19 \l 1038 </w:instrText>
          </w:r>
          <w:r w:rsidRPr="00B4096A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fldChar w:fldCharType="separate"/>
          </w:r>
          <w:r w:rsidRPr="00B4096A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t>(KSH Tájékoztatási adatbázis)</w:t>
          </w:r>
          <w:r w:rsidRPr="00B4096A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fldChar w:fldCharType="end"/>
          </w:r>
        </w:sdtContent>
      </w:sdt>
      <w:r w:rsidRPr="00B4096A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alapján saját szerkesztés.</w:t>
      </w:r>
    </w:p>
    <w:p w:rsidR="00B4096A" w:rsidRPr="00B4096A" w:rsidRDefault="00B4096A" w:rsidP="00B4096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(…) A Gyulai járásban a megfigyelt 2015–2017 közötti időszakban nem történt jelentős változás a gyermeket szülő anyák családi állapot szerinti megoszlásában (2. ábra). (…)</w:t>
      </w:r>
    </w:p>
    <w:p w:rsidR="00B4096A" w:rsidRPr="00F075D2" w:rsidRDefault="00B4096A" w:rsidP="00B4096A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075D2">
        <w:rPr>
          <w:rFonts w:ascii="Times New Roman" w:hAnsi="Times New Roman" w:cs="Times New Roman"/>
          <w:sz w:val="24"/>
          <w:u w:val="single"/>
        </w:rPr>
        <w:t>Saját kutatás alapján készült ábra:</w:t>
      </w:r>
    </w:p>
    <w:p w:rsidR="00B4096A" w:rsidRDefault="00B4096A" w:rsidP="00B4096A">
      <w:pPr>
        <w:keepNext/>
      </w:pPr>
      <w:r>
        <w:rPr>
          <w:noProof/>
        </w:rPr>
        <w:drawing>
          <wp:inline distT="0" distB="0" distL="0" distR="0" wp14:anchorId="04C86EDA" wp14:editId="18514B28">
            <wp:extent cx="4572000" cy="2884170"/>
            <wp:effectExtent l="0" t="0" r="0" b="1143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6A7E3BF9-56FC-4D75-B1C8-081B23B6FB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096A" w:rsidRPr="006C7EE4" w:rsidRDefault="00B4096A" w:rsidP="00B4096A">
      <w:pPr>
        <w:pStyle w:val="Kpalrs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6C7E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ábra: Az iskolai végzettség és az egészségi állapotról való ismeretek forrásának összefüggése.  Forrás: saját kutatás alapján saját szerkesztés. </w:t>
      </w:r>
    </w:p>
    <w:p w:rsidR="00B4096A" w:rsidRPr="006C7EE4" w:rsidRDefault="00B4096A" w:rsidP="00B4096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C7EE4">
        <w:rPr>
          <w:rFonts w:ascii="Times New Roman" w:hAnsi="Times New Roman" w:cs="Times New Roman"/>
          <w:sz w:val="24"/>
        </w:rPr>
        <w:t xml:space="preserve">(…) A kérdőív 13. kérdésére adott válaszok megoszlását a </w:t>
      </w:r>
      <w:r>
        <w:rPr>
          <w:rFonts w:ascii="Times New Roman" w:hAnsi="Times New Roman" w:cs="Times New Roman"/>
          <w:sz w:val="24"/>
        </w:rPr>
        <w:t>3</w:t>
      </w:r>
      <w:r w:rsidRPr="006C7EE4">
        <w:rPr>
          <w:rFonts w:ascii="Times New Roman" w:hAnsi="Times New Roman" w:cs="Times New Roman"/>
          <w:sz w:val="24"/>
        </w:rPr>
        <w:t>. ábra szemlélteti. (…)</w:t>
      </w:r>
    </w:p>
    <w:p w:rsidR="00B4096A" w:rsidRDefault="00B4096A" w:rsidP="00B4096A">
      <w:pPr>
        <w:spacing w:line="360" w:lineRule="auto"/>
        <w:rPr>
          <w:sz w:val="24"/>
        </w:rPr>
      </w:pPr>
    </w:p>
    <w:p w:rsidR="00B4096A" w:rsidRDefault="00B4096A" w:rsidP="00B4096A">
      <w:pPr>
        <w:keepNext/>
        <w:spacing w:line="360" w:lineRule="auto"/>
      </w:pPr>
      <w:r>
        <w:rPr>
          <w:noProof/>
        </w:rPr>
        <w:drawing>
          <wp:inline distT="0" distB="0" distL="0" distR="0" wp14:anchorId="01BD0C96" wp14:editId="4C987BCE">
            <wp:extent cx="4572000" cy="2868930"/>
            <wp:effectExtent l="0" t="0" r="0" b="762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19C080D2-D414-49BE-B695-4D6F50A65F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096A" w:rsidRPr="006C7EE4" w:rsidRDefault="00B4096A" w:rsidP="00B4096A">
      <w:pPr>
        <w:pStyle w:val="Kpalrs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4</w:t>
      </w:r>
      <w:r w:rsidRPr="006C7EE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. ábra: Klinikai vizsgálatban való részvételi hajlandóság és az életkor összefüggése. Forrás: saját kutatás alapján saját szerkesztés.</w:t>
      </w:r>
    </w:p>
    <w:p w:rsidR="00B4096A" w:rsidRPr="006C7EE4" w:rsidRDefault="00B4096A" w:rsidP="00B4096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C7EE4">
        <w:rPr>
          <w:rFonts w:ascii="Times New Roman" w:hAnsi="Times New Roman" w:cs="Times New Roman"/>
          <w:sz w:val="24"/>
        </w:rPr>
        <w:lastRenderedPageBreak/>
        <w:t>(…) A megkérdezett dolgozók klinikai gyógyszervizsgálatban való részvételi hajlandósága az életkorral fordított összefüggést mutat (</w:t>
      </w:r>
      <w:r>
        <w:rPr>
          <w:rFonts w:ascii="Times New Roman" w:hAnsi="Times New Roman" w:cs="Times New Roman"/>
          <w:sz w:val="24"/>
        </w:rPr>
        <w:t>4</w:t>
      </w:r>
      <w:r w:rsidRPr="006C7EE4">
        <w:rPr>
          <w:rFonts w:ascii="Times New Roman" w:hAnsi="Times New Roman" w:cs="Times New Roman"/>
          <w:sz w:val="24"/>
        </w:rPr>
        <w:t>. ábra).</w:t>
      </w:r>
      <w:bookmarkStart w:id="0" w:name="_GoBack"/>
      <w:bookmarkEnd w:id="0"/>
      <w:r w:rsidRPr="006C7EE4">
        <w:rPr>
          <w:rFonts w:ascii="Times New Roman" w:hAnsi="Times New Roman" w:cs="Times New Roman"/>
          <w:sz w:val="24"/>
        </w:rPr>
        <w:t xml:space="preserve"> (…)</w:t>
      </w:r>
    </w:p>
    <w:p w:rsidR="00F075D2" w:rsidRPr="00B4096A" w:rsidRDefault="00F075D2" w:rsidP="00B4096A">
      <w:pPr>
        <w:pStyle w:val="Kpalrs"/>
        <w:jc w:val="both"/>
        <w:rPr>
          <w:rFonts w:ascii="Times New Roman" w:hAnsi="Times New Roman" w:cs="Times New Roman"/>
          <w:i w:val="0"/>
          <w:sz w:val="24"/>
        </w:rPr>
      </w:pPr>
    </w:p>
    <w:p w:rsidR="00D41D77" w:rsidRPr="00D41D77" w:rsidRDefault="00D41D77" w:rsidP="00D41D77">
      <w:pPr>
        <w:pStyle w:val="Kpalrs"/>
        <w:keepNext/>
        <w:rPr>
          <w:rFonts w:ascii="Times New Roman" w:hAnsi="Times New Roman" w:cs="Times New Roman"/>
          <w:color w:val="000000" w:themeColor="text1"/>
          <w:sz w:val="20"/>
        </w:rPr>
      </w:pPr>
      <w:r w:rsidRPr="00D41D77">
        <w:rPr>
          <w:rFonts w:ascii="Times New Roman" w:hAnsi="Times New Roman" w:cs="Times New Roman"/>
          <w:color w:val="000000" w:themeColor="text1"/>
          <w:sz w:val="20"/>
        </w:rPr>
        <w:fldChar w:fldCharType="begin"/>
      </w:r>
      <w:r w:rsidRPr="00D41D77">
        <w:rPr>
          <w:rFonts w:ascii="Times New Roman" w:hAnsi="Times New Roman" w:cs="Times New Roman"/>
          <w:color w:val="000000" w:themeColor="text1"/>
          <w:sz w:val="20"/>
        </w:rPr>
        <w:instrText xml:space="preserve"> SEQ táblázat \* ARABIC </w:instrText>
      </w:r>
      <w:r w:rsidRPr="00D41D77">
        <w:rPr>
          <w:rFonts w:ascii="Times New Roman" w:hAnsi="Times New Roman" w:cs="Times New Roman"/>
          <w:color w:val="000000" w:themeColor="text1"/>
          <w:sz w:val="20"/>
        </w:rPr>
        <w:fldChar w:fldCharType="separate"/>
      </w:r>
      <w:r w:rsidR="003E24A5">
        <w:rPr>
          <w:rFonts w:ascii="Times New Roman" w:hAnsi="Times New Roman" w:cs="Times New Roman"/>
          <w:noProof/>
          <w:color w:val="000000" w:themeColor="text1"/>
          <w:sz w:val="20"/>
        </w:rPr>
        <w:t>1</w:t>
      </w:r>
      <w:r w:rsidRPr="00D41D77">
        <w:rPr>
          <w:rFonts w:ascii="Times New Roman" w:hAnsi="Times New Roman" w:cs="Times New Roman"/>
          <w:color w:val="000000" w:themeColor="text1"/>
          <w:sz w:val="20"/>
        </w:rPr>
        <w:fldChar w:fldCharType="end"/>
      </w:r>
      <w:r w:rsidRPr="00D41D77">
        <w:rPr>
          <w:rFonts w:ascii="Times New Roman" w:hAnsi="Times New Roman" w:cs="Times New Roman"/>
          <w:color w:val="000000" w:themeColor="text1"/>
          <w:sz w:val="20"/>
        </w:rPr>
        <w:t>. táblázat: A képzés munkarendje és a munkavállalás típusa közti összefüggés. Forrás: saját kutatás alapján saját szerkesztés.</w:t>
      </w:r>
    </w:p>
    <w:tbl>
      <w:tblPr>
        <w:tblW w:w="8531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066"/>
        <w:gridCol w:w="985"/>
        <w:gridCol w:w="1044"/>
        <w:gridCol w:w="1358"/>
        <w:gridCol w:w="1342"/>
        <w:gridCol w:w="1440"/>
      </w:tblGrid>
      <w:tr w:rsidR="00D41D77" w:rsidRPr="00D41D77" w:rsidTr="00D41D77">
        <w:trPr>
          <w:trHeight w:val="315"/>
        </w:trPr>
        <w:tc>
          <w:tcPr>
            <w:tcW w:w="33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4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Munkavállalás jellege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</w:tr>
      <w:tr w:rsidR="00D41D77" w:rsidRPr="00D41D77" w:rsidTr="00D41D77">
        <w:trPr>
          <w:trHeight w:val="750"/>
        </w:trPr>
        <w:tc>
          <w:tcPr>
            <w:tcW w:w="334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alkalmi munka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részmunkaidős foglalkoztatás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 munkaidejű foglalkoztatás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41D77" w:rsidRPr="00D41D77" w:rsidTr="00D41D77">
        <w:trPr>
          <w:trHeight w:val="300"/>
        </w:trPr>
        <w:tc>
          <w:tcPr>
            <w:tcW w:w="122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Képzésének munkarendje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nappali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Elemszám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793</w:t>
            </w:r>
          </w:p>
        </w:tc>
      </w:tr>
      <w:tr w:rsidR="00D41D77" w:rsidRPr="00D41D77" w:rsidTr="00D41D77">
        <w:trPr>
          <w:trHeight w:val="120"/>
        </w:trPr>
        <w:tc>
          <w:tcPr>
            <w:tcW w:w="12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68,2%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22,3%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9,5%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100,0%</w:t>
            </w:r>
          </w:p>
        </w:tc>
      </w:tr>
      <w:tr w:rsidR="00D41D77" w:rsidRPr="00D41D77" w:rsidTr="00D41D77">
        <w:trPr>
          <w:trHeight w:val="300"/>
        </w:trPr>
        <w:tc>
          <w:tcPr>
            <w:tcW w:w="12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esti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Elemszám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</w:tr>
      <w:tr w:rsidR="00D41D77" w:rsidRPr="00D41D77" w:rsidTr="00D41D77">
        <w:trPr>
          <w:trHeight w:val="128"/>
        </w:trPr>
        <w:tc>
          <w:tcPr>
            <w:tcW w:w="12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18,2%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18,2%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63,6%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100,0%</w:t>
            </w:r>
          </w:p>
        </w:tc>
      </w:tr>
      <w:tr w:rsidR="00D41D77" w:rsidRPr="00D41D77" w:rsidTr="00D41D77">
        <w:trPr>
          <w:trHeight w:val="300"/>
        </w:trPr>
        <w:tc>
          <w:tcPr>
            <w:tcW w:w="12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levelező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Elemszám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182</w:t>
            </w:r>
          </w:p>
        </w:tc>
      </w:tr>
      <w:tr w:rsidR="00D41D77" w:rsidRPr="00D41D77" w:rsidTr="00D41D77">
        <w:trPr>
          <w:trHeight w:val="194"/>
        </w:trPr>
        <w:tc>
          <w:tcPr>
            <w:tcW w:w="12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1,6%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10,4%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87,9%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100,0%</w:t>
            </w:r>
          </w:p>
        </w:tc>
      </w:tr>
      <w:tr w:rsidR="00D41D77" w:rsidRPr="00D41D77" w:rsidTr="00D41D77">
        <w:trPr>
          <w:trHeight w:val="300"/>
        </w:trPr>
        <w:tc>
          <w:tcPr>
            <w:tcW w:w="12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távoktatás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Elemszám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</w:tr>
      <w:tr w:rsidR="00D41D77" w:rsidRPr="00D41D77" w:rsidTr="00D41D77">
        <w:trPr>
          <w:trHeight w:val="247"/>
        </w:trPr>
        <w:tc>
          <w:tcPr>
            <w:tcW w:w="122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0,0%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0,0%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100,0%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100,0%</w:t>
            </w:r>
          </w:p>
        </w:tc>
      </w:tr>
      <w:tr w:rsidR="00D41D77" w:rsidRPr="00D41D77" w:rsidTr="00D41D77">
        <w:trPr>
          <w:trHeight w:val="315"/>
        </w:trPr>
        <w:tc>
          <w:tcPr>
            <w:tcW w:w="235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Elemszám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997</w:t>
            </w:r>
          </w:p>
        </w:tc>
      </w:tr>
      <w:tr w:rsidR="00D41D77" w:rsidRPr="00D41D77" w:rsidTr="00D41D77">
        <w:trPr>
          <w:trHeight w:val="216"/>
        </w:trPr>
        <w:tc>
          <w:tcPr>
            <w:tcW w:w="235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1D77" w:rsidRPr="00D41D77" w:rsidRDefault="00D41D77" w:rsidP="00D41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54,8%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19,9%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25,4%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41D77" w:rsidRPr="00D41D77" w:rsidRDefault="00D41D77" w:rsidP="00D41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41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100,0%</w:t>
            </w:r>
          </w:p>
        </w:tc>
      </w:tr>
    </w:tbl>
    <w:p w:rsidR="00B4096A" w:rsidRPr="00F075D2" w:rsidRDefault="00B4096A" w:rsidP="003C21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075D2" w:rsidRPr="003E24A5" w:rsidRDefault="003C218C" w:rsidP="003C21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E24A5">
        <w:rPr>
          <w:rFonts w:ascii="Times New Roman" w:hAnsi="Times New Roman" w:cs="Times New Roman"/>
          <w:sz w:val="24"/>
        </w:rPr>
        <w:t>(…) Az 1. táblázatban látható, hogy a felsőoktatásban részt vevő hallgatók munkavállalásának jellege eltérő a különböző munkarendű képzések esetén. (…)</w:t>
      </w:r>
    </w:p>
    <w:sectPr w:rsidR="00F075D2" w:rsidRPr="003E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0F"/>
    <w:rsid w:val="003C218C"/>
    <w:rsid w:val="003E24A5"/>
    <w:rsid w:val="00501EB0"/>
    <w:rsid w:val="00542F0F"/>
    <w:rsid w:val="005A2119"/>
    <w:rsid w:val="006C7EE4"/>
    <w:rsid w:val="00892ED5"/>
    <w:rsid w:val="00B4096A"/>
    <w:rsid w:val="00B71B4B"/>
    <w:rsid w:val="00D41D77"/>
    <w:rsid w:val="00F075D2"/>
    <w:rsid w:val="00F9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D4425-D461-4DDD-838C-74FB5907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9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0C50"/>
    <w:rPr>
      <w:rFonts w:ascii="Segoe UI" w:hAnsi="Segoe UI" w:cs="Segoe UI"/>
      <w:sz w:val="18"/>
      <w:szCs w:val="18"/>
    </w:rPr>
  </w:style>
  <w:style w:type="paragraph" w:styleId="Kpalrs">
    <w:name w:val="caption"/>
    <w:basedOn w:val="Norml"/>
    <w:next w:val="Norml"/>
    <w:uiPriority w:val="35"/>
    <w:unhideWhenUsed/>
    <w:qFormat/>
    <w:rsid w:val="00F90C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B4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czin\AppData\Local\Temp\Statinfo_export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kumentumok\Dropbox\Mel&#243;\Schmidt%20Eszter\eredm&#233;nyek%20&#225;br&#225;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Munkaf&#252;zet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Az adott évben élveszületettek</a:t>
            </a:r>
            <a:r>
              <a:rPr lang="hu-HU" baseline="0"/>
              <a:t> az anya családi állapota szerint a Gyulai Járásban</a:t>
            </a: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[Statinfo_export.xls]NS3A07!$D$34</c:f>
              <c:strCache>
                <c:ptCount val="1"/>
                <c:pt idx="0">
                  <c:v>Házas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[Statinfo_export.xls]NS3A07!$C$38:$C$40</c:f>
              <c:strCache>
                <c:ptCount val="3"/>
                <c:pt idx="0">
                  <c:v>2015 (N=293)</c:v>
                </c:pt>
                <c:pt idx="1">
                  <c:v>2016 (N=336)</c:v>
                </c:pt>
                <c:pt idx="2">
                  <c:v>2017 (N=298)</c:v>
                </c:pt>
              </c:strCache>
            </c:strRef>
          </c:cat>
          <c:val>
            <c:numRef>
              <c:f>[Statinfo_export.xls]NS3A07!$D$38:$D$40</c:f>
              <c:numCache>
                <c:formatCode>0.0%</c:formatCode>
                <c:ptCount val="3"/>
                <c:pt idx="0">
                  <c:v>0.5426621160409556</c:v>
                </c:pt>
                <c:pt idx="1">
                  <c:v>0.53869047619047616</c:v>
                </c:pt>
                <c:pt idx="2">
                  <c:v>0.5436241610738255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C1-43E4-B822-9CBE842CDB2D}"/>
            </c:ext>
          </c:extLst>
        </c:ser>
        <c:ser>
          <c:idx val="1"/>
          <c:order val="1"/>
          <c:tx>
            <c:strRef>
              <c:f>[Statinfo_export.xls]NS3A07!$E$34</c:f>
              <c:strCache>
                <c:ptCount val="1"/>
                <c:pt idx="0">
                  <c:v>Nőtlen, hajadon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[Statinfo_export.xls]NS3A07!$C$38:$C$40</c:f>
              <c:strCache>
                <c:ptCount val="3"/>
                <c:pt idx="0">
                  <c:v>2015 (N=293)</c:v>
                </c:pt>
                <c:pt idx="1">
                  <c:v>2016 (N=336)</c:v>
                </c:pt>
                <c:pt idx="2">
                  <c:v>2017 (N=298)</c:v>
                </c:pt>
              </c:strCache>
            </c:strRef>
          </c:cat>
          <c:val>
            <c:numRef>
              <c:f>[Statinfo_export.xls]NS3A07!$E$38:$E$40</c:f>
              <c:numCache>
                <c:formatCode>0.0%</c:formatCode>
                <c:ptCount val="3"/>
                <c:pt idx="0">
                  <c:v>0.4061433447098976</c:v>
                </c:pt>
                <c:pt idx="1">
                  <c:v>0.42559523809523808</c:v>
                </c:pt>
                <c:pt idx="2">
                  <c:v>0.40939597315436244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C1-43E4-B822-9CBE842CDB2D}"/>
            </c:ext>
          </c:extLst>
        </c:ser>
        <c:ser>
          <c:idx val="2"/>
          <c:order val="2"/>
          <c:tx>
            <c:strRef>
              <c:f>[Statinfo_export.xls]NS3A07!$F$34</c:f>
              <c:strCache>
                <c:ptCount val="1"/>
                <c:pt idx="0">
                  <c:v>Özvegy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7777777777778798E-3"/>
                  <c:y val="1.8466418289474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C1-43E4-B822-9CBE842CDB2D}"/>
                </c:ext>
              </c:extLst>
            </c:dLbl>
            <c:dLbl>
              <c:idx val="2"/>
              <c:layout>
                <c:manualLayout>
                  <c:x val="-1.0185067526415994E-16"/>
                  <c:y val="1.2484394506866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C1-43E4-B822-9CBE842CDB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[Statinfo_export.xls]NS3A07!$C$38:$C$40</c:f>
              <c:strCache>
                <c:ptCount val="3"/>
                <c:pt idx="0">
                  <c:v>2015 (N=293)</c:v>
                </c:pt>
                <c:pt idx="1">
                  <c:v>2016 (N=336)</c:v>
                </c:pt>
                <c:pt idx="2">
                  <c:v>2017 (N=298)</c:v>
                </c:pt>
              </c:strCache>
            </c:strRef>
          </c:cat>
          <c:val>
            <c:numRef>
              <c:f>[Statinfo_export.xls]NS3A07!$F$38:$F$40</c:f>
              <c:numCache>
                <c:formatCode>0.0%</c:formatCode>
                <c:ptCount val="3"/>
                <c:pt idx="0">
                  <c:v>1.3651877133105802E-2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C1-43E4-B822-9CBE842CDB2D}"/>
            </c:ext>
          </c:extLst>
        </c:ser>
        <c:ser>
          <c:idx val="3"/>
          <c:order val="3"/>
          <c:tx>
            <c:strRef>
              <c:f>[Statinfo_export.xls]NS3A07!$G$34</c:f>
              <c:strCache>
                <c:ptCount val="1"/>
                <c:pt idx="0">
                  <c:v>Elvált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5462668816039986E-17"/>
                  <c:y val="-9.2592592592592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C1-43E4-B822-9CBE842CDB2D}"/>
                </c:ext>
              </c:extLst>
            </c:dLbl>
            <c:dLbl>
              <c:idx val="1"/>
              <c:layout>
                <c:manualLayout>
                  <c:x val="-1.0185067526415994E-16"/>
                  <c:y val="-8.32292967124427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1C1-43E4-B822-9CBE842CDB2D}"/>
                </c:ext>
              </c:extLst>
            </c:dLbl>
            <c:dLbl>
              <c:idx val="2"/>
              <c:layout>
                <c:manualLayout>
                  <c:x val="-1.0185067526415994E-16"/>
                  <c:y val="-1.2484394506866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1C1-43E4-B822-9CBE842CDB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[Statinfo_export.xls]NS3A07!$C$38:$C$40</c:f>
              <c:strCache>
                <c:ptCount val="3"/>
                <c:pt idx="0">
                  <c:v>2015 (N=293)</c:v>
                </c:pt>
                <c:pt idx="1">
                  <c:v>2016 (N=336)</c:v>
                </c:pt>
                <c:pt idx="2">
                  <c:v>2017 (N=298)</c:v>
                </c:pt>
              </c:strCache>
            </c:strRef>
          </c:cat>
          <c:val>
            <c:numRef>
              <c:f>[Statinfo_export.xls]NS3A07!$G$38:$G$40</c:f>
              <c:numCache>
                <c:formatCode>0.0%</c:formatCode>
                <c:ptCount val="3"/>
                <c:pt idx="0">
                  <c:v>3.7542662116040959E-2</c:v>
                </c:pt>
                <c:pt idx="1">
                  <c:v>3.5714285714285712E-2</c:v>
                </c:pt>
                <c:pt idx="2">
                  <c:v>4.6979865771812082E-2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1C1-43E4-B822-9CBE842CD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032079"/>
        <c:axId val="43140127"/>
      </c:barChart>
      <c:catAx>
        <c:axId val="43032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3140127"/>
        <c:crosses val="autoZero"/>
        <c:auto val="1"/>
        <c:lblAlgn val="ctr"/>
        <c:lblOffset val="100"/>
        <c:noMultiLvlLbl val="0"/>
      </c:catAx>
      <c:valAx>
        <c:axId val="43140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3032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Honnan szerezte ismereteit egészségi</a:t>
            </a:r>
            <a:r>
              <a:rPr lang="hu-HU" baseline="0"/>
              <a:t> állapotával kapcsolatban? (N=103)</a:t>
            </a: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összefüggések!$L$3</c:f>
              <c:strCache>
                <c:ptCount val="1"/>
                <c:pt idx="0">
                  <c:v>internet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összefüggések!$K$4:$K$7</c:f>
              <c:strCache>
                <c:ptCount val="4"/>
                <c:pt idx="0">
                  <c:v>általános iskola</c:v>
                </c:pt>
                <c:pt idx="1">
                  <c:v>középiskola</c:v>
                </c:pt>
                <c:pt idx="2">
                  <c:v>főiskola</c:v>
                </c:pt>
                <c:pt idx="3">
                  <c:v>egyetem</c:v>
                </c:pt>
              </c:strCache>
            </c:strRef>
          </c:cat>
          <c:val>
            <c:numRef>
              <c:f>összefüggések!$L$4:$L$7</c:f>
              <c:numCache>
                <c:formatCode>###0.0%</c:formatCode>
                <c:ptCount val="4"/>
                <c:pt idx="0">
                  <c:v>0.2</c:v>
                </c:pt>
                <c:pt idx="1">
                  <c:v>0.48979591836734693</c:v>
                </c:pt>
                <c:pt idx="2">
                  <c:v>0.44</c:v>
                </c:pt>
                <c:pt idx="3">
                  <c:v>0.5714285714285714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4B-4820-90A2-041EA58BF5D2}"/>
            </c:ext>
          </c:extLst>
        </c:ser>
        <c:ser>
          <c:idx val="1"/>
          <c:order val="1"/>
          <c:tx>
            <c:strRef>
              <c:f>összefüggések!$M$3</c:f>
              <c:strCache>
                <c:ptCount val="1"/>
                <c:pt idx="0">
                  <c:v>szakirodalom/ orvos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összefüggések!$K$4:$K$7</c:f>
              <c:strCache>
                <c:ptCount val="4"/>
                <c:pt idx="0">
                  <c:v>általános iskola</c:v>
                </c:pt>
                <c:pt idx="1">
                  <c:v>középiskola</c:v>
                </c:pt>
                <c:pt idx="2">
                  <c:v>főiskola</c:v>
                </c:pt>
                <c:pt idx="3">
                  <c:v>egyetem</c:v>
                </c:pt>
              </c:strCache>
            </c:strRef>
          </c:cat>
          <c:val>
            <c:numRef>
              <c:f>összefüggések!$M$4:$M$7</c:f>
              <c:numCache>
                <c:formatCode>###0.0%</c:formatCode>
                <c:ptCount val="4"/>
                <c:pt idx="0">
                  <c:v>0.4</c:v>
                </c:pt>
                <c:pt idx="1">
                  <c:v>0.34693877551020408</c:v>
                </c:pt>
                <c:pt idx="2">
                  <c:v>0.48</c:v>
                </c:pt>
                <c:pt idx="3">
                  <c:v>0.33333333333333326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4B-4820-90A2-041EA58BF5D2}"/>
            </c:ext>
          </c:extLst>
        </c:ser>
        <c:ser>
          <c:idx val="2"/>
          <c:order val="2"/>
          <c:tx>
            <c:strRef>
              <c:f>összefüggések!$N$3</c:f>
              <c:strCache>
                <c:ptCount val="1"/>
                <c:pt idx="0">
                  <c:v>barátok és egyéb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összefüggések!$K$4:$K$7</c:f>
              <c:strCache>
                <c:ptCount val="4"/>
                <c:pt idx="0">
                  <c:v>általános iskola</c:v>
                </c:pt>
                <c:pt idx="1">
                  <c:v>középiskola</c:v>
                </c:pt>
                <c:pt idx="2">
                  <c:v>főiskola</c:v>
                </c:pt>
                <c:pt idx="3">
                  <c:v>egyetem</c:v>
                </c:pt>
              </c:strCache>
            </c:strRef>
          </c:cat>
          <c:val>
            <c:numRef>
              <c:f>összefüggések!$N$4:$N$7</c:f>
              <c:numCache>
                <c:formatCode>###0.0%</c:formatCode>
                <c:ptCount val="4"/>
                <c:pt idx="0">
                  <c:v>0.4</c:v>
                </c:pt>
                <c:pt idx="1">
                  <c:v>0.16326530612244899</c:v>
                </c:pt>
                <c:pt idx="2">
                  <c:v>0.08</c:v>
                </c:pt>
                <c:pt idx="3">
                  <c:v>9.5238095238095233E-2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4B-4820-90A2-041EA58BF5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28076848"/>
        <c:axId val="628078816"/>
      </c:barChart>
      <c:catAx>
        <c:axId val="62807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28078816"/>
        <c:crosses val="autoZero"/>
        <c:auto val="1"/>
        <c:lblAlgn val="ctr"/>
        <c:lblOffset val="100"/>
        <c:noMultiLvlLbl val="0"/>
      </c:catAx>
      <c:valAx>
        <c:axId val="62807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2807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hu-HU" sz="1400" b="0" i="0" u="none" strike="noStrike" baseline="0">
                <a:effectLst/>
              </a:rPr>
              <a:t>Részt venne-e klinikai gyógyszervizsgálatban az Ön osztályán/kórházában?</a:t>
            </a:r>
            <a:r>
              <a:rPr lang="hu-HU" baseline="0"/>
              <a:t> (N=103)</a:t>
            </a: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[Munkafüzet1]Munka1!$F$3</c:f>
              <c:strCache>
                <c:ptCount val="1"/>
                <c:pt idx="0">
                  <c:v>Részt venne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[Munkafüzet1]Munka1!$E$4:$E$7</c:f>
              <c:strCache>
                <c:ptCount val="4"/>
                <c:pt idx="0">
                  <c:v>51-60 éves</c:v>
                </c:pt>
                <c:pt idx="1">
                  <c:v>41-50 éves</c:v>
                </c:pt>
                <c:pt idx="2">
                  <c:v>31-40 éves</c:v>
                </c:pt>
                <c:pt idx="3">
                  <c:v>21-30 éves</c:v>
                </c:pt>
              </c:strCache>
            </c:strRef>
          </c:cat>
          <c:val>
            <c:numRef>
              <c:f>[Munkafüzet1]Munka1!$F$4:$F$7</c:f>
              <c:numCache>
                <c:formatCode>###0.0%</c:formatCode>
                <c:ptCount val="4"/>
                <c:pt idx="0">
                  <c:v>0.52600000000000002</c:v>
                </c:pt>
                <c:pt idx="1">
                  <c:v>0.5641025641025641</c:v>
                </c:pt>
                <c:pt idx="2">
                  <c:v>0.59259259259259256</c:v>
                </c:pt>
                <c:pt idx="3">
                  <c:v>0.69565217391304346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51-44CB-90C3-B713AA81C632}"/>
            </c:ext>
          </c:extLst>
        </c:ser>
        <c:ser>
          <c:idx val="1"/>
          <c:order val="1"/>
          <c:tx>
            <c:strRef>
              <c:f>[Munkafüzet1]Munka1!$G$3</c:f>
              <c:strCache>
                <c:ptCount val="1"/>
                <c:pt idx="0">
                  <c:v>Nem venne részt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[Munkafüzet1]Munka1!$E$4:$E$7</c:f>
              <c:strCache>
                <c:ptCount val="4"/>
                <c:pt idx="0">
                  <c:v>51-60 éves</c:v>
                </c:pt>
                <c:pt idx="1">
                  <c:v>41-50 éves</c:v>
                </c:pt>
                <c:pt idx="2">
                  <c:v>31-40 éves</c:v>
                </c:pt>
                <c:pt idx="3">
                  <c:v>21-30 éves</c:v>
                </c:pt>
              </c:strCache>
            </c:strRef>
          </c:cat>
          <c:val>
            <c:numRef>
              <c:f>[Munkafüzet1]Munka1!$G$4:$G$7</c:f>
              <c:numCache>
                <c:formatCode>###0.0%</c:formatCode>
                <c:ptCount val="4"/>
                <c:pt idx="0">
                  <c:v>0.47399999999999998</c:v>
                </c:pt>
                <c:pt idx="1">
                  <c:v>0.4358974358974359</c:v>
                </c:pt>
                <c:pt idx="2">
                  <c:v>0.40740740740740738</c:v>
                </c:pt>
                <c:pt idx="3">
                  <c:v>0.30434782608695654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51-44CB-90C3-B713AA81C6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74366303"/>
        <c:axId val="2099405375"/>
      </c:barChart>
      <c:catAx>
        <c:axId val="16743663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099405375"/>
        <c:crosses val="autoZero"/>
        <c:auto val="1"/>
        <c:lblAlgn val="ctr"/>
        <c:lblOffset val="100"/>
        <c:noMultiLvlLbl val="0"/>
      </c:catAx>
      <c:valAx>
        <c:axId val="20994053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674366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Roó13</b:Tag>
    <b:SourceType>InternetSite</b:SourceType>
    <b:Guid>{8A9A65F3-2877-4EB6-A9FF-53ED5F2FD9BC}</b:Guid>
    <b:Title>Vállalati gazdaságtan és menedzsment alapjai</b:Title>
    <b:Year>2013.</b:Year>
    <b:Author>
      <b:Author>
        <b:NameList>
          <b:Person>
            <b:Last>Roóz</b:Last>
            <b:First>József</b:First>
          </b:Person>
          <b:Person>
            <b:Last>Heidrich</b:Last>
            <b:First>Balázs</b:First>
          </b:Person>
        </b:NameList>
      </b:Author>
    </b:Author>
    <b:Month>09.</b:Month>
    <b:Day>23.</b:Day>
    <b:YearAccessed>2019.</b:YearAccessed>
    <b:MonthAccessed>04.</b:MonthAccessed>
    <b:DayAccessed>03.</b:DayAccessed>
    <b:URL>https://www.tankonyvtar.hu/hu/tartalom/tamop412A/0007_c1_1054_1055_1057_vallalatigazdtan_scorm/4_2_1_abraham_maslow_szukseglethierarchia_elmelete_XVlxSjTG3FzXfuFY.html</b:URL>
    <b:InternetSiteTitle>Digitális Tankönyvtár</b:InternetSiteTitle>
    <b:RefOrder>1</b:RefOrder>
  </b:Source>
  <b:Source>
    <b:Tag>KSH19</b:Tag>
    <b:SourceType>DocumentFromInternetSite</b:SourceType>
    <b:Guid>{84B5CC36-419B-4755-A5CD-131753375E23}</b:Guid>
    <b:Title>ksh.hu</b:Title>
    <b:InternetSiteTitle>ksh.hu</b:InternetSiteTitle>
    <b:URL>http://statinfo.ksh.hu/</b:URL>
    <b:YearAccessed>2019.</b:YearAccessed>
    <b:MonthAccessed>04.</b:MonthAccessed>
    <b:DayAccessed>03.</b:DayAccessed>
    <b:Author>
      <b:Author>
        <b:Corporate>KSH Tájékoztatási adatbázis</b:Corporate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67B944BF-624A-4705-84B9-981E88CE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Czinderi Kristóf</dc:creator>
  <cp:keywords/>
  <dc:description/>
  <cp:lastModifiedBy>Czinderi Kristóf</cp:lastModifiedBy>
  <cp:revision>3</cp:revision>
  <cp:lastPrinted>2019-04-03T17:55:00Z</cp:lastPrinted>
  <dcterms:created xsi:type="dcterms:W3CDTF">2019-04-02T14:29:00Z</dcterms:created>
  <dcterms:modified xsi:type="dcterms:W3CDTF">2019-04-03T17:56:00Z</dcterms:modified>
</cp:coreProperties>
</file>